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62" w:rsidRPr="001B1C62" w:rsidRDefault="00693E47" w:rsidP="001B1C62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Датский взгляд на мир</w:t>
      </w:r>
      <w:r w:rsidR="001B1C62" w:rsidRPr="001B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прогноз 2013 на 2014 год и далее</w:t>
      </w:r>
    </w:p>
    <w:p w:rsidR="00693E47" w:rsidRPr="001B1C62" w:rsidRDefault="001B1C62" w:rsidP="001B1C62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вот сейчас, в феврале 2015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B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B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ните…. </w:t>
      </w:r>
    </w:p>
    <w:p w:rsidR="00693E47" w:rsidRPr="00693E47" w:rsidRDefault="00693E47" w:rsidP="00693E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2014 году цена на нефть упадет до $80, а Европа станет советской</w:t>
      </w:r>
    </w:p>
    <w:p w:rsidR="00693E47" w:rsidRPr="00693E47" w:rsidRDefault="00693E47" w:rsidP="00693E4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3E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3E47" w:rsidRPr="00693E47" w:rsidRDefault="00693E47" w:rsidP="00693E4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3E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93E47" w:rsidRPr="00693E47" w:rsidRDefault="00693E47" w:rsidP="00693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5210" cy="3236595"/>
            <wp:effectExtent l="19050" t="0" r="2540" b="0"/>
            <wp:docPr id="2" name="Рисунок 2" descr="http://img.gazeta.ru/files3/345/5808345/RTX146BF-pic510-510x340-931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azeta.ru/files3/345/5808345/RTX146BF-pic510-510x340-931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Фотография: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Susana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Vera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Reuters</w:t>
      </w:r>
      <w:proofErr w:type="spellEnd"/>
    </w:p>
    <w:p w:rsidR="00693E47" w:rsidRPr="00693E47" w:rsidRDefault="00693E47" w:rsidP="00693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17.12.2013, 22:56 | </w:t>
      </w:r>
      <w:hyperlink r:id="rId7" w:history="1">
        <w:r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Павел </w:t>
        </w:r>
        <w:proofErr w:type="spellStart"/>
        <w:r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Сморщков</w:t>
        </w:r>
        <w:proofErr w:type="spellEnd"/>
      </w:hyperlink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$80 за баррель упадет цена нефти марки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Brent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Экономика Евросоюза приобретет черты советской. А его основная сила — Германия — окажется в рецессии. И это далеко не все катастрофы, которые могут случиться в 2014 году. Если, конечно, верить аналитикам из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датского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специализирующегося на «шокирующих прогнозах».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в преддверии Нового года публикует список «черных лебедей» — событий, которых никто не ожидает, но которые серьезно повлияют на глобальную экономическую ситуацию. Вероятность того, что они сбудутся, мала,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это продукт стратегических расчетов, сделанных аналитиками «на основе изучения возможных, но маловероятных политических и рыночных событий», отмечает банк.</w:t>
      </w:r>
    </w:p>
    <w:p w:rsidR="00693E47" w:rsidRPr="00693E47" w:rsidRDefault="00693E47" w:rsidP="00693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07795" cy="930275"/>
            <wp:effectExtent l="19050" t="0" r="1905" b="0"/>
            <wp:docPr id="3" name="Рисунок 3" descr="Простые американцы якобы потеряли $360 млрд от количественного смягчения ФРС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ые американцы якобы потеряли $360 млрд от количественного смягчения ФРС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47" w:rsidRPr="00693E47" w:rsidRDefault="00194CEA" w:rsidP="00693E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" w:history="1">
        <w:r w:rsidR="00693E47" w:rsidRPr="00693E4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ФРС обокрала пенсионеров </w:t>
        </w:r>
      </w:hyperlink>
    </w:p>
    <w:p w:rsidR="00693E47" w:rsidRPr="00693E47" w:rsidRDefault="00194CEA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Федеральная резервная система США украла у каждого </w:t>
        </w:r>
        <w:proofErr w:type="spellStart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американ</w:t>
        </w:r>
        <w:proofErr w:type="gramStart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  <w:proofErr w:type="gramEnd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кого</w:t>
        </w:r>
        <w:proofErr w:type="spellEnd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пенсионера более $10 тыс. К такому выводу пришли исследователи Института </w:t>
        </w:r>
        <w:proofErr w:type="spellStart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McKinsey</w:t>
        </w:r>
        <w:proofErr w:type="spellEnd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 →</w:t>
        </w:r>
      </w:hyperlink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Правда, на этот раз вероятность политико-экономических «флуктуаций» может быть выше, чем обычно. «Мы находимся на переходном этапе, глобальные рынки приобретают свойства хаотической системы, — отметил на презентации доклада в Москве 17 декабря глава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Игорь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Домброван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Обычно в среднем один наш прогноз сбывается. Если из представленных десяти предсказаний сбудется более двух, мировая финансовая система превратится в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хаотическую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Нефтяной рынок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мировых нефтяных рынках сейчас наблюдается переходный период. Несмотря на многочисленные перебои с поставками, цены на нефть стабилизировались благодаря подъему добычи ресурсов нетрадиционными методами, особенно в США и Канаде (имеется в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сланцевая нефть), а также увеличению объемов добычи в Саудовской Аравии, отмечается в обзоре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средняя цена на нефть сорта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Brent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установилась на отметке $110 за баррель, а в 2014 году, согласно прогнозу, она составит $105 за баррель.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датские банкиры не согласны с таким прогнозом. Они ожидают увеличения предложения нефти из стран, не входящих в ОПЕК, более чем на 1,5 </w:t>
      </w:r>
      <w:proofErr w:type="spellStart"/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баррелей в сутки, и еще 2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появляющиеся в результате решения проблем с поставками из Ливии и смягчения санкций в отношении Ирана. Производителям придется объединить усилия, чтобы уменьшить общий объем добычи.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цена нефти сорта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Brent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 упадет до $80 за баррель.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эта ситуация продлится недолго, два-три месяца, по оценке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Домбрована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Производители «отчаянно нуждаются» в высоких ценах на нефть. В частности, себестоимость добычи на сланцевых месторождениях в США находится примерно на уровне $100 за баррель. Поэтому когда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начнут снижать объемы добычи, цены на нефть подскочат.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аналитики также не исключают, что нефтяные цены «просядут». Но расходятся в сроках и длительности этого снижения.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прогнозу энергетического министерства США, уровень добычи нефти в стране к 2016 году может приблизиться к максимальной с 1970 года отметке в 9,6 </w:t>
      </w:r>
      <w:proofErr w:type="spellStart"/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баррелей в сутки, и такой рост приведет к снижению стоимости нефти марки WTI к 2017 году в среднем до $92 за баррель против $112 за баррель в 2012 году.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анализа рынков Брокерского дома «Открытие» Константин Бушуев в целом согласен со сценарием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Правда, его оценки нефтяных цен значительно выше.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«Приблизительно что-то такое я и думаю, — отметил он. — Увеличение предложения «в моменте» способно понизить цену, но не сильно. Поэтому насчет $80 я не уверен. Может быть, мы увидим снижение до $95».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же цены не только вернутся к нынешним показателям, но и значительно вырастут.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с середины 2011 года все товарные рынки снижались, то нефть показывает свою фундаментальную силу. Более того, и прогнозы по нефти идут хорошие, ожидается, что </w:t>
      </w: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конца 2014 года глобальный спрос увеличится с 90 тыс. до 93 тыс. баррелей в день. Это очень много, — поясняет Бушуев. — И ожидать какого-то ухудшения прогноза спроса вряд ли можно. В этом году глобальная экономика ускорилась, в следующем году тоже ожидается ускорение глобальной экономики. А рынок нефти — это рынок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всего. Спрос диктует цены, а не предложение. И увеличение спроса перекрывает весь возможный рост добычи Ирана и т.д.».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целом тренд цен на нефть повышательный. И за время трехлетнего «стояния» нефти приблизительно на одном уровне потенциал роста сильно вырос. Нефть ждет обновление исторических ценовых максимумов.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мы можем увидеть диапазон $150–180 за баррель, не исключает Бушуев.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 Европейских Социалистических Республик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Призрак коммунизма снова бродит по Европе. Левацкие идеи чаще всего торжествуют в обществах, испытывающих экономические проблемы. Датские банкиры скептически смотрят на европейские перспективы и поэтому ожидают роста распределительных настроений.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2014 году дефляция и отсутствие роста посеют панику среди политиков, заставив Европейскую комиссию создать рабочую группу для разработки различных налогов на богатство для тех, чьи сбережения превышают 100 тыс. евро или долларов», — считают они. — 100 тыс. евро — это размер гарантийного депозита в еврозоне, пояснил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Домброван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Прообразом подобного «раскулачивания» можно считать экспроприацию части банковских вкладов на Кипре весной этого года, считает он.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«Эту инициативу 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преподнесут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стремление устранить неравенство и заставить 1% самых богатых людей платить государству больше, чтобы ослабить напряжение в обществе, — отмечается в исследовании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По данным некоторых научных и банковских исследований, </w:t>
      </w:r>
      <w:hyperlink r:id="rId12" w:history="1">
        <w:r w:rsidRPr="00693E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налог на богатство</w:t>
        </w:r>
      </w:hyperlink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5–10% необходим, чтобы финансировать «кризисный резерв» для спасения банков, государств и погашения других обязательств, возникающих в процессе финансовых и долговых кризисов. Это станет решающим шагом по направлению к тоталитарной Европе, где люди и право собственности ничего не значат.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прошли по кругу и вернулись к экономической модели Советского Союза. Самое очевидное решение в данной ситуации — покупать твердые активы и избавляться от обесценивающихся нематериальных активов». 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Подобное решение заставит состоятельных граждан искать спасение для своих сбережений за пределами Европы и евро, можно ожидать роста цен на золото даже до $2 тыс. за тройскую унцию, не исключает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Домброван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оно стоит $1230–1240.</w:t>
      </w:r>
    </w:p>
    <w:p w:rsidR="00693E47" w:rsidRPr="00693E47" w:rsidRDefault="00693E47" w:rsidP="00693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07795" cy="930275"/>
            <wp:effectExtent l="19050" t="0" r="1905" b="0"/>
            <wp:docPr id="4" name="Рисунок 4" descr="Главой нового мегарегулятора еврозоны стала француженка Даниэль Ну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ой нового мегарегулятора еврозоны стала француженка Даниэль Ну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47" w:rsidRPr="00693E47" w:rsidRDefault="00194CEA" w:rsidP="00693E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5" w:history="1">
        <w:r w:rsidR="00693E47" w:rsidRPr="00693E4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Деньги выбирают женщин </w:t>
        </w:r>
      </w:hyperlink>
    </w:p>
    <w:p w:rsidR="00693E47" w:rsidRPr="00693E47" w:rsidRDefault="00194CEA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Даниэль </w:t>
        </w:r>
        <w:proofErr w:type="spellStart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Нуи</w:t>
        </w:r>
        <w:proofErr w:type="spellEnd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из Банка Франции станет главой нового банковского </w:t>
        </w:r>
        <w:proofErr w:type="spellStart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мегарегулятора</w:t>
        </w:r>
        <w:proofErr w:type="spellEnd"/>
        <w:r w:rsidR="00693E47"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еврозоны (SSM), который будет контролировать 130 европейских банков... →</w:t>
        </w:r>
      </w:hyperlink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не все эксперты считают, что в Европе все будет так плохо. Никакой дефляции в еврозоне нет, а экономический рост, видимо, будет ускоряться как минимум в проблемных странах региона, считает главный экономист Брокерской группы «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ITinvest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Проспект» Сергей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Егишянц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«Введение налогов на богатство возможно, но сбережения в 100 тыс. евро назвать «богатством» вряд ли рискнут даже самые отъявленные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еврокоммунисты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планка должна быть намного выше, к тому же такие вещи имеет смысл вводить только глобально, иначе деньги богачей тут же сбегут в более безопасные места планеты; одним словом, подобное практически невероятно в ближайшем будущем», — полагает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Егишянц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Deutschland</w:t>
      </w:r>
      <w:proofErr w:type="spellEnd"/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unter</w:t>
      </w:r>
      <w:proofErr w:type="spellEnd"/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allen</w:t>
      </w:r>
      <w:proofErr w:type="spellEnd"/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самая сильная экономика еврозоны — немецкая — окажется в рецессии. «Экономика Германии демонстрировала самые лучшие результаты роста среди остальных стран еврозоны в течение пяти лет после окончания мировой рецессии.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2014 году она утратит это превосходство, и аналитики, ожидающие темпы роста в размере 1,7%, будут сильно разочарованы, — предупреждают в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Вопреки всем ожиданиям, производство товаров и услуг в экономике в следующем году будет снижаться».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факторам немецкого падения их соседи-датчане относят уменьшение цен на энергоресурсы в США, снижение конкурентоспособности на фоне роста реальных зарплат, возможные требования от нового партнера по коалиции партии СДПГ о повышении уровня жизни низшего и среднего классов в Германии, а также развивающийся Китай, который решил на последнем, третьем пленуме ЦК КПК сконцентрироваться на внутреннем потреблении.</w:t>
      </w:r>
      <w:proofErr w:type="gramEnd"/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«Какой-то на редкость туманный прогноз, все смешано в кучу и лишено логики, — считает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Егишянц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Если Китай переходит на модель, поощряющую внутреннее потребление, то это лишь наращивает его спрос на внешние товары и услуги, отчего Германия только выиграет, а никак не проиграет. Снижение цен на энергоносители в США для мировой экономики позитивно: разумеется, это не касается экспортеров сырья (вроде России), а к Германии применимо в полной мере. Претензии по структуре экономики Германии уже отчасти повлияли на развитие событий: в последние месяцы доля чистого экспорта в В</w:t>
      </w: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ВП стр</w:t>
      </w:r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снижается, зато на внешний спрос делают упор недавно бедствовавшие Испания, Италия и Греция, так что тут все нормально. Наконец, серьезного роста реальных зарплат в Германии не предвидится, несмотря на вхождение СДПГ в правящую коалицию — просто потому, что тенденция отставания зарплат от цен имела место с самого момента объединения Германии, при любых правительствах, включая социалистические: а если так, то и конкурентоспособность там сохранится».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«страшилки»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Saxo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исключают, что после майских выборов крупнейшей группой в Европарламенте станут «евроскептики» — члены Британской партии независимости, Альтернативы для Германии, выступающие против единой валюты, Национального фронта Франции и Партии свободы в Нидерландах, «погрузив тем самым Европу в </w:t>
      </w: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пучину политического и экономического хаоса», а </w:t>
      </w:r>
      <w:hyperlink r:id="rId17" w:history="1">
        <w:r w:rsidRPr="00693E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французская биржа обвалится: основной индекс CAC 40 упадет на 40% из-за неэффективного управления</w:t>
        </w:r>
        <w:proofErr w:type="gramEnd"/>
        <w:r w:rsidRPr="00693E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страной под руководством правительства Франсуа </w:t>
        </w:r>
        <w:proofErr w:type="spellStart"/>
        <w:r w:rsidRPr="00693E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Олланда</w:t>
        </w:r>
        <w:proofErr w:type="spellEnd"/>
        <w:r w:rsidRPr="00693E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котировки таких технологичных американских компаний, как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Amazon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Netflix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Twitter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Pandora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Yelp</w:t>
      </w:r>
      <w:proofErr w:type="spell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2014 году упадут в цене вдвое, Банк Японии «в отчаянии» спишет со своих счетов все государственные долговые бумаги после укрепления иены до 80 за доллар. А валюты стран, испытывающих проблемы с платежным балансом, таких как Бразилия, Индия, Южная Африка, Индонезия и Турция, упадут на 25% против американского доллара.</w:t>
      </w:r>
    </w:p>
    <w:p w:rsidR="00693E47" w:rsidRPr="00693E47" w:rsidRDefault="00693E47" w:rsidP="00693E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США подойдут вплотную к дефляции, а </w:t>
      </w:r>
      <w:hyperlink r:id="rId18" w:history="1">
        <w:r w:rsidRPr="00693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ФРС</w:t>
        </w:r>
      </w:hyperlink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вопреки ожиданиям, не только не начнет сворачивать политику «количественного смягчения», но и перейдет к полному выкупу всех ипотечных ценных бумаг, расширив свои вливания до суммы более $100 </w:t>
      </w:r>
      <w:proofErr w:type="spellStart"/>
      <w:proofErr w:type="gramStart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6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</w:t>
      </w:r>
    </w:p>
    <w:p w:rsidR="00386CAC" w:rsidRPr="00693E47" w:rsidRDefault="00194CEA">
      <w:hyperlink r:id="rId19" w:history="1">
        <w:r w:rsidR="00693E47" w:rsidRPr="002D375C">
          <w:rPr>
            <w:rStyle w:val="a3"/>
          </w:rPr>
          <w:t>http://www.gazeta.ru/business/2013/12/17/5808321.shtml</w:t>
        </w:r>
      </w:hyperlink>
    </w:p>
    <w:p w:rsidR="00693E47" w:rsidRPr="00693E47" w:rsidRDefault="00693E47"/>
    <w:sectPr w:rsidR="00693E47" w:rsidRPr="00693E47" w:rsidSect="0038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140"/>
    <w:multiLevelType w:val="multilevel"/>
    <w:tmpl w:val="B91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93E47"/>
    <w:rsid w:val="00071520"/>
    <w:rsid w:val="00194CEA"/>
    <w:rsid w:val="001B1C62"/>
    <w:rsid w:val="00221227"/>
    <w:rsid w:val="002D7F29"/>
    <w:rsid w:val="003529D8"/>
    <w:rsid w:val="00384721"/>
    <w:rsid w:val="00386CAC"/>
    <w:rsid w:val="003B0259"/>
    <w:rsid w:val="003D1F07"/>
    <w:rsid w:val="00455633"/>
    <w:rsid w:val="005F51A9"/>
    <w:rsid w:val="00693E47"/>
    <w:rsid w:val="00695CC1"/>
    <w:rsid w:val="00733938"/>
    <w:rsid w:val="00746092"/>
    <w:rsid w:val="00757494"/>
    <w:rsid w:val="00780D6E"/>
    <w:rsid w:val="00823B3B"/>
    <w:rsid w:val="0084182D"/>
    <w:rsid w:val="00843464"/>
    <w:rsid w:val="00853F9C"/>
    <w:rsid w:val="00941B77"/>
    <w:rsid w:val="00A651D7"/>
    <w:rsid w:val="00AD2764"/>
    <w:rsid w:val="00B00E47"/>
    <w:rsid w:val="00B426B4"/>
    <w:rsid w:val="00BC04AD"/>
    <w:rsid w:val="00C75F64"/>
    <w:rsid w:val="00D275B9"/>
    <w:rsid w:val="00D903A1"/>
    <w:rsid w:val="00E516C0"/>
    <w:rsid w:val="00E62912"/>
    <w:rsid w:val="00ED2EEE"/>
    <w:rsid w:val="00ED35D7"/>
    <w:rsid w:val="00F62E97"/>
    <w:rsid w:val="00F8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AC"/>
  </w:style>
  <w:style w:type="paragraph" w:styleId="1">
    <w:name w:val="heading 1"/>
    <w:basedOn w:val="a"/>
    <w:link w:val="10"/>
    <w:uiPriority w:val="9"/>
    <w:qFormat/>
    <w:rsid w:val="00693E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E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3E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E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3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3E4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3E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3E4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3E4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693E47"/>
    <w:rPr>
      <w:color w:val="0000FF"/>
      <w:u w:val="single"/>
    </w:rPr>
  </w:style>
  <w:style w:type="character" w:customStyle="1" w:styleId="commentsinfoarrowed">
    <w:name w:val="comments_info_arrowed"/>
    <w:basedOn w:val="a0"/>
    <w:rsid w:val="00693E47"/>
  </w:style>
  <w:style w:type="paragraph" w:customStyle="1" w:styleId="picsrc">
    <w:name w:val="pic_src"/>
    <w:basedOn w:val="a"/>
    <w:rsid w:val="00693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3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0"/>
    <w:rsid w:val="00693E47"/>
  </w:style>
  <w:style w:type="paragraph" w:customStyle="1" w:styleId="intro1">
    <w:name w:val="intro1"/>
    <w:basedOn w:val="a"/>
    <w:rsid w:val="00693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693E47"/>
  </w:style>
  <w:style w:type="character" w:customStyle="1" w:styleId="idea">
    <w:name w:val="idea"/>
    <w:basedOn w:val="a0"/>
    <w:rsid w:val="00693E47"/>
  </w:style>
  <w:style w:type="paragraph" w:styleId="a5">
    <w:name w:val="Balloon Text"/>
    <w:basedOn w:val="a"/>
    <w:link w:val="a6"/>
    <w:uiPriority w:val="99"/>
    <w:semiHidden/>
    <w:unhideWhenUsed/>
    <w:rsid w:val="00693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.ru/business/2013/12/10/5797077.shtml" TargetMode="External"/><Relationship Id="rId13" Type="http://schemas.openxmlformats.org/officeDocument/2006/relationships/hyperlink" Target="http://www.gazeta.ru/business/2013/12/11/5798685.shtml" TargetMode="External"/><Relationship Id="rId18" Type="http://schemas.openxmlformats.org/officeDocument/2006/relationships/hyperlink" Target="http://www.gazeta.ru/tags/frs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zeta.ru/gazeta/authors/pavel_smorshkov.shtml" TargetMode="External"/><Relationship Id="rId12" Type="http://schemas.openxmlformats.org/officeDocument/2006/relationships/hyperlink" Target="http://www.gazeta.ru/business/quotes/video/exchange/" TargetMode="External"/><Relationship Id="rId17" Type="http://schemas.openxmlformats.org/officeDocument/2006/relationships/hyperlink" Target="http://www.gazeta.ru/business/quotes/video/exchan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zeta.ru/business/2013/12/11/5798685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azeta.ru/business/2013/12/10/5797077.shtml" TargetMode="External"/><Relationship Id="rId5" Type="http://schemas.openxmlformats.org/officeDocument/2006/relationships/hyperlink" Target="http://img.gazeta.ru/files3/345/5808345/RTX146BF-pic4_zoom-1000x1000-41453.jpg" TargetMode="External"/><Relationship Id="rId15" Type="http://schemas.openxmlformats.org/officeDocument/2006/relationships/hyperlink" Target="http://www.gazeta.ru/business/2013/12/11/5798685.shtml" TargetMode="External"/><Relationship Id="rId10" Type="http://schemas.openxmlformats.org/officeDocument/2006/relationships/hyperlink" Target="http://www.gazeta.ru/business/2013/12/10/5797077.shtml" TargetMode="External"/><Relationship Id="rId19" Type="http://schemas.openxmlformats.org/officeDocument/2006/relationships/hyperlink" Target="http://www.gazeta.ru/business/2013/12/17/5808321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2013-12-20T03:24:00Z</dcterms:created>
  <dcterms:modified xsi:type="dcterms:W3CDTF">2015-02-19T16:33:00Z</dcterms:modified>
</cp:coreProperties>
</file>